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F4" w:rsidRDefault="00A627F4" w:rsidP="00A627F4">
      <w:pPr>
        <w:pStyle w:val="3"/>
        <w:shd w:val="clear" w:color="auto" w:fill="FFFFFF"/>
        <w:rPr>
          <w:rFonts w:ascii="Tahoma" w:hAnsi="Tahoma" w:cs="Tahoma"/>
          <w:color w:val="333333"/>
          <w:sz w:val="23"/>
          <w:szCs w:val="23"/>
        </w:rPr>
      </w:pPr>
      <w:r>
        <w:rPr>
          <w:rFonts w:ascii="Tahoma" w:hAnsi="Tahoma" w:cs="Tahoma"/>
          <w:color w:val="333333"/>
          <w:sz w:val="23"/>
          <w:szCs w:val="23"/>
        </w:rPr>
        <w:t>Статья 13. Вредные и (или) опасные факторы производственной среды и трудового процесса, подлежащие исследованию (испытанию) и измерению при проведении специальной оценки условий труда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1. В целях проведения специальной оценки условий труда исследованию (испытанию) и измерению подлежат следующие вредные и (или) опасные факторы производственной среды: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proofErr w:type="gramStart"/>
      <w:r>
        <w:rPr>
          <w:rFonts w:ascii="Tahoma" w:hAnsi="Tahoma" w:cs="Tahoma"/>
          <w:color w:val="333333"/>
          <w:sz w:val="20"/>
          <w:szCs w:val="20"/>
        </w:rPr>
        <w:t xml:space="preserve">1) физические факторы - аэрозоли преимущественно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фиброгенного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 действия, шум, инфразвук, ультразвук воздушный, вибрация общая и локальная, неионизирующие излучения (электростатическое поле, постоянное магнитное поле, в том числе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гипогеомагнитное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>, электрические и магнитные поля промышленной частоты (50 Герц), переменные электромагнитные поля, в том числе радиочастотного диапазона и оптического диапазона (лазерное и ультрафиолетовое), ионизирующие излучения, параметры микроклимата (температура воздуха, относительная влажность воздуха, скорость движения воздуха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>, инфракрасное излучение), параметры световой среды (искусственное освещение (освещенность) рабочей поверхности);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2) химические факторы - химические вещества и смеси, измеряемые в воздухе рабочей зоны и на кожных покровах работников, в том числе некоторые вещества биологической природы (антибиотики, витамины, гормоны, ферменты, белковые препараты), которые получают химическим синтезом и (или) для контроля содержания которых используют методы химического анализа;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биологические факторы - микроорганизмы-продуценты, живые клетки и споры, содержащиеся в бактериальных препаратах, патогенные микроорганизмы - возбудители инфекционных заболеваний.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2. В целях проведения специальной оценки условий труда исследованию (испытанию) и измерению подлежат следующие вредные и (или) опасные факторы трудового процесса: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1) тяжесть трудового процесса - показатели физической нагрузки на опорно-двигательный аппарат и на функциональные системы организма работника;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2) напряженность трудового процесса - показатели сенсорной нагрузки на центральную нервную систему и органы чувств работника.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0" w:name="статья13часть3"/>
      <w:bookmarkEnd w:id="0"/>
      <w:r>
        <w:rPr>
          <w:rFonts w:ascii="Tahoma" w:hAnsi="Tahoma" w:cs="Tahoma"/>
          <w:color w:val="333333"/>
          <w:sz w:val="20"/>
          <w:szCs w:val="20"/>
        </w:rPr>
        <w:t>3. Испытательная лаборатория (центр) проводит исследования (испытания) и измерения следующих вредных и (или) опасных факторов производственной среды и трудового процесса: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1) температура воздуха;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2) относительная влажность воздуха;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скорость движения воздуха;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4) интенсивность и экспозиционная доза инфракрасного излучения;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5) напряженность переменного электрического поля промышленной частоты (50 Герц);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6) напряженность переменного магнитного поля промышленной частоты (50 Герц);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7) напряженность переменного электрического поля электромагнитных излучений радиочастотного диапазона;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8) напряженность переменного магнитного поля электромагнитных излучений радиочастотного диапазона;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9) напряженность электростатического поля и постоянного магнитного поля;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10) интенсивность источников ультрафиолетового излучения в диапазоне длин волн 200 - 400 нанометров;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11) энергетическая освещенность в диапазонах длин волн УФ-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A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(</w:t>
      </w:r>
      <w:r w:rsidRPr="00BA1FEC">
        <w:rPr>
          <w:rFonts w:ascii="Tahoma" w:hAnsi="Tahoma" w:cs="Tahoma"/>
          <w:color w:val="33333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25pt;height:15pt"/>
        </w:pict>
      </w:r>
      <w:r>
        <w:rPr>
          <w:rStyle w:val="apple-converted-space"/>
          <w:rFonts w:ascii="Tahoma" w:hAnsi="Tahoma" w:cs="Tahoma"/>
          <w:color w:val="333333"/>
          <w:sz w:val="20"/>
          <w:szCs w:val="20"/>
        </w:rPr>
        <w:t> </w:t>
      </w:r>
      <w:r>
        <w:rPr>
          <w:rFonts w:ascii="Tahoma" w:hAnsi="Tahoma" w:cs="Tahoma"/>
          <w:color w:val="333333"/>
          <w:sz w:val="20"/>
          <w:szCs w:val="20"/>
        </w:rPr>
        <w:t>= 400 - 315 нанометров), УФ-B (</w:t>
      </w:r>
      <w:r w:rsidRPr="00BA1FEC">
        <w:rPr>
          <w:rFonts w:ascii="Tahoma" w:hAnsi="Tahoma" w:cs="Tahoma"/>
          <w:color w:val="333333"/>
          <w:sz w:val="20"/>
          <w:szCs w:val="20"/>
        </w:rPr>
        <w:pict>
          <v:shape id="_x0000_i1026" type="#_x0000_t75" alt="" style="width:11.25pt;height:15pt"/>
        </w:pict>
      </w:r>
      <w:r>
        <w:rPr>
          <w:rStyle w:val="apple-converted-space"/>
          <w:rFonts w:ascii="Tahoma" w:hAnsi="Tahoma" w:cs="Tahoma"/>
          <w:color w:val="333333"/>
          <w:sz w:val="20"/>
          <w:szCs w:val="20"/>
        </w:rPr>
        <w:t> </w:t>
      </w:r>
      <w:r>
        <w:rPr>
          <w:rFonts w:ascii="Tahoma" w:hAnsi="Tahoma" w:cs="Tahoma"/>
          <w:color w:val="333333"/>
          <w:sz w:val="20"/>
          <w:szCs w:val="20"/>
        </w:rPr>
        <w:t>= 315 - 280 нанометров), УФ-C (</w:t>
      </w:r>
      <w:r w:rsidRPr="00BA1FEC">
        <w:rPr>
          <w:rFonts w:ascii="Tahoma" w:hAnsi="Tahoma" w:cs="Tahoma"/>
          <w:color w:val="333333"/>
          <w:sz w:val="20"/>
          <w:szCs w:val="20"/>
        </w:rPr>
        <w:pict>
          <v:shape id="_x0000_i1027" type="#_x0000_t75" alt="" style="width:11.25pt;height:15pt"/>
        </w:pict>
      </w:r>
      <w:r>
        <w:rPr>
          <w:rStyle w:val="apple-converted-space"/>
          <w:rFonts w:ascii="Tahoma" w:hAnsi="Tahoma" w:cs="Tahoma"/>
          <w:color w:val="333333"/>
          <w:sz w:val="20"/>
          <w:szCs w:val="20"/>
        </w:rPr>
        <w:t> </w:t>
      </w:r>
      <w:r>
        <w:rPr>
          <w:rFonts w:ascii="Tahoma" w:hAnsi="Tahoma" w:cs="Tahoma"/>
          <w:color w:val="333333"/>
          <w:sz w:val="20"/>
          <w:szCs w:val="20"/>
        </w:rPr>
        <w:t>= 280 - 200 нанометров);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12) энергетическая экспозиция лазерного излучения;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13) мощность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амбиентного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 эквивалента дозы гамма-излучения, рентгеновского и нейтронного излучений;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14) радиоактивное загрязнение производственных помещений, элементов производственного оборудования, средств индивидуальной защиты и кожных покровов работников;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15) уровень звука;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16) общий уровень звукового давления инфразвука;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17) ультразвук воздушный;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18) вибрация общая и локальная;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19) освещенность рабочей поверхности;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proofErr w:type="gramStart"/>
      <w:r>
        <w:rPr>
          <w:rFonts w:ascii="Tahoma" w:hAnsi="Tahoma" w:cs="Tahoma"/>
          <w:color w:val="333333"/>
          <w:sz w:val="20"/>
          <w:szCs w:val="20"/>
        </w:rPr>
        <w:t xml:space="preserve">20) концентрация вредных химических веществ, в том числе веществ биологической природы (антибиотиков, витаминов, гормонов, ферментов, белковых препаратов), которые получают химическим синтезом и (или) для контроля содержания которых используют методы химического </w:t>
      </w:r>
      <w:r>
        <w:rPr>
          <w:rFonts w:ascii="Tahoma" w:hAnsi="Tahoma" w:cs="Tahoma"/>
          <w:color w:val="333333"/>
          <w:sz w:val="20"/>
          <w:szCs w:val="20"/>
        </w:rPr>
        <w:lastRenderedPageBreak/>
        <w:t>анализа, а также концентрация смесей таких веществ в воздухе рабочей зоны и на кожных покровах работников (в соответствии с областью аккредитации испытательной лаборатории (центра);</w:t>
      </w:r>
      <w:proofErr w:type="gramEnd"/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21) массовая концентрация аэрозолей в воздухе рабочей зоны;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22) тяжесть трудового процесса (длина пути перемещения груза, мышечное усилие, масса перемещаемых грузов, угол наклона корпуса тела работника и количество наклонов за рабочий день (смену), время удержания груза, количество стереотипных рабочих движений);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23) напряженность трудового процесса работников, трудовая функция которых: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а) заключается в диспетчеризации производственных процессов, управлении транспортными средствами (длительность сосредоточенного наблюдения, плотность сигналов (световых, звуковых) и сообщений в единицу времени, число производственных объектов одновременного наблюдения, нагрузка на слуховой анализатор, время активного наблюдения за ходом производственного процесса);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б) заключается в обслуживании производственных процессов конвейерного типа (продолжительность выполнения единичной операции, число элементов (приемов), необходимых для реализации единичной операции);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в)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связана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с длительной работой с оптическими приборами;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г)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связана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с постоянной нагрузкой на голосовой аппарат;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24) биологические факторы (в соответствии с областью аккредитации испытательной лаборатории (центра).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По отдельным видам работ, профессий, должностей, специальностей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совместно с федеральным органом исполнительной власти, осуществляющим функции по выработке государственной политики и нормативно-правовому регулированию в соответствующей сфере деятельности, Государственной корпорацией по атомной энергии "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Росатом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>" по согласованию с федеральным органом исполнительной власти, осуществляющим функции по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организации и осуществлению федерального государственного санитарно-эпидемиологического надзора, и с учетом мнения Российской трехсторонней комиссии по регулированию социально-трудовых отношений может устанавливаться дополнительный перечень вредных и (или) опасных факторов производственной среды и трудового процесса, подлежащих исследованию (испытанию) и измерению при проведении специальной оценки условий труда.</w:t>
      </w:r>
    </w:p>
    <w:p w:rsidR="00A627F4" w:rsidRDefault="00A627F4" w:rsidP="00A627F4">
      <w:pPr>
        <w:pStyle w:val="3"/>
        <w:shd w:val="clear" w:color="auto" w:fill="FFFFFF"/>
        <w:rPr>
          <w:rFonts w:ascii="Tahoma" w:hAnsi="Tahoma" w:cs="Tahoma"/>
          <w:color w:val="333333"/>
          <w:sz w:val="23"/>
          <w:szCs w:val="23"/>
        </w:rPr>
      </w:pPr>
      <w:bookmarkStart w:id="1" w:name="статья14"/>
      <w:bookmarkEnd w:id="1"/>
      <w:r>
        <w:rPr>
          <w:rFonts w:ascii="Tahoma" w:hAnsi="Tahoma" w:cs="Tahoma"/>
          <w:color w:val="333333"/>
          <w:sz w:val="23"/>
          <w:szCs w:val="23"/>
        </w:rPr>
        <w:t>Статья 14. Классификация условий труда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2" w:name="статья14часть1"/>
      <w:bookmarkEnd w:id="2"/>
      <w:r>
        <w:rPr>
          <w:rFonts w:ascii="Tahoma" w:hAnsi="Tahoma" w:cs="Tahoma"/>
          <w:color w:val="333333"/>
          <w:sz w:val="20"/>
          <w:szCs w:val="20"/>
        </w:rPr>
        <w:t>1. Условия труда по степени вредности и (или) опасности подразделяются на четыре класса - оптимальные, допустимые, вредные и опасные условия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2. Оптимальными условиями труда (1 класс) являются условия труда, при которых воздействие на работника вредных и (или) опасных производственных факторов отсутствует или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уровни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воздействия которых не превышают уровни, установленные нормативами (гигиеническими нормативами) условий труда и принятые в качестве безопасных для человека, и создаются предпосылки для поддержания высокого уровня работоспособности работника.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3. Допустимыми условиями труда (2 класс) являются условия труда, при которых на работника воздействуют вредные и (или) опасные производственные факторы,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уровни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воздействия которых не превышают уровни, установленные нормативами (гигиеническими нормативами) условий труда,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(смены).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4. Вредными условиями труда (3 класс) являются условия труда, при которых уровни воздействия вредных и (или) опасных производственных факторов превышают уровни, установленные нормативами (гигиеническими нормативами) условий труда, в том числе: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1) подкласс 3.1 (вредные условия труда 1 степени) - условия труда, при которых на работника воздействуют вредные и (или) опасные производственные факторы, после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воздействия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которых измененное функциональное состояние организма работника восстанавливается, как правило, при более длительном, чем до начала следующего рабочего дня (смены), прекращении воздействия данных факторов, и увеличивается риск повреждения здоровья;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2) подкласс 3.2 (вредные условия труда 2 степени) - условия труда, при которых на работника воздействуют вредные и (или) опасные производственные факторы,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уровни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воздействия которых способны вызвать стойкие функциональные изменения в организме работника, приводящие к появлению и развитию начальных форм профессиональных заболеваний или профессиональных заболеваний легкой степени тяжести (без потери профессиональной трудоспособности), возникающих после продолжительной экспозиции (пятнадцать и более лет);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lastRenderedPageBreak/>
        <w:t xml:space="preserve">3) подкласс 3.3 (вредные условия труда 3 степени) - условия труда, при которых на работника воздействуют вредные и (или) опасные производственные факторы,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уровни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воздействия которых способны вызвать стойкие функциональные изменения в организме работника, приводящие к появлению и развитию профессиональных заболеваний легкой и средней степени тяжести (с потерей профессиональной трудоспособности) в период трудовой деятельности;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4) подкласс 3.4 (вредные условия труда 4 степени) - условия труда, при которых на работника воздействуют вредные и (или) опасные производственные факторы,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уровни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воздействия которых способны привести к появлению и развитию тяжелых форм профессиональных заболеваний (с потерей общей трудоспособности) в период трудовой деятельности.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5. Опасными условиями труда (4 класс) являются условия труда, при которых на работника воздействуют вредные и (или) опасные производственные факторы,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уровни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воздействия которых в течение всего рабочего дня (смены) или его части способны создать угрозу жизни работника, а последствия воздействия данных факторов обусловливают высокий риск развития острого профессионального заболевания в период трудовой деятельности.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3" w:name="статья14часть6"/>
      <w:bookmarkEnd w:id="3"/>
      <w:r>
        <w:rPr>
          <w:rFonts w:ascii="Tahoma" w:hAnsi="Tahoma" w:cs="Tahoma"/>
          <w:color w:val="333333"/>
          <w:sz w:val="20"/>
          <w:szCs w:val="20"/>
        </w:rPr>
        <w:t xml:space="preserve">6.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В случае применения работниками, занятыми на рабочих местах с вредными условиями труда, эффективных средств индивидуальной защиты, прошедших обязательную сертификацию в порядке, установленном соответствующим техническим регламентом, класс (подкласс) условий труда может быть снижен комиссией на основании заключения эксперта организации, проводящей специальную оценку условий труда, на одну степень в соответствии с методикой, утвержденной федеральным органом исполнительной власти, осуществляющим функции по выработке и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реализации государственной политики и нормативно-правовому регулированию в сфере труда, по согласованию с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надзора, и с учетом мнения Российской трехсторонней комиссии по регулированию социально-трудовых отношений.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7. По согласованию с территориальным органом федерального органа исполнительной власти, осуществляющего функции по организации и осуществлению федерального государственного санитарно-эпидемиологического надзора, по месту нахождения соответствующих рабочих мест допускается снижение класса (подкласса) условий труда более чем на одну степень в соответствии с методикой, указанной в </w:t>
      </w:r>
      <w:hyperlink r:id="rId4" w:anchor="статья14часть6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6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4" w:name="статья14часть8"/>
      <w:bookmarkEnd w:id="4"/>
      <w:r>
        <w:rPr>
          <w:rFonts w:ascii="Tahoma" w:hAnsi="Tahoma" w:cs="Tahoma"/>
          <w:color w:val="333333"/>
          <w:sz w:val="20"/>
          <w:szCs w:val="20"/>
        </w:rPr>
        <w:t xml:space="preserve">8.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В отношении рабочих мест в организациях, осуществляющих отдельные виды деятельности, снижение класса (подкласса) условий труда может осуществляться в соответствии с отраслевыми особенностями, утвержденными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по согласованию с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надзора, и с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учетом мнения Российской трехсторонней комиссии по регулированию социально-трудовых отношений.</w:t>
      </w:r>
    </w:p>
    <w:p w:rsidR="00A627F4" w:rsidRDefault="00A627F4" w:rsidP="00A627F4">
      <w:pPr>
        <w:pStyle w:val="a4"/>
        <w:shd w:val="clear" w:color="auto" w:fill="FFFFFF"/>
        <w:spacing w:before="0" w:before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9. Критерии классификации условий труда на рабочем месте устанавливаются предусмотренной </w:t>
      </w:r>
      <w:hyperlink r:id="rId5" w:anchor="статья8часть3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частью 3 статьи 8</w:t>
        </w:r>
      </w:hyperlink>
      <w:r>
        <w:rPr>
          <w:rFonts w:ascii="Tahoma" w:hAnsi="Tahoma" w:cs="Tahoma"/>
          <w:color w:val="333333"/>
          <w:sz w:val="20"/>
          <w:szCs w:val="20"/>
        </w:rPr>
        <w:t>настоящего Федерального закона методикой проведения специальной оценки условий труда.</w:t>
      </w:r>
    </w:p>
    <w:p w:rsidR="00A627F4" w:rsidRDefault="00A627F4" w:rsidP="00A627F4">
      <w:pPr>
        <w:pStyle w:val="3"/>
        <w:shd w:val="clear" w:color="auto" w:fill="FFFFFF"/>
        <w:spacing w:before="0" w:beforeAutospacing="0"/>
        <w:rPr>
          <w:rFonts w:ascii="Tahoma" w:hAnsi="Tahoma" w:cs="Tahoma"/>
          <w:color w:val="333333"/>
          <w:sz w:val="23"/>
          <w:szCs w:val="23"/>
        </w:rPr>
      </w:pPr>
      <w:bookmarkStart w:id="5" w:name="статья15"/>
      <w:bookmarkEnd w:id="5"/>
      <w:r>
        <w:rPr>
          <w:rFonts w:ascii="Tahoma" w:hAnsi="Tahoma" w:cs="Tahoma"/>
          <w:color w:val="333333"/>
          <w:sz w:val="23"/>
          <w:szCs w:val="23"/>
        </w:rPr>
        <w:t>Статья 15. Результаты проведения специальной оценки условий труда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6" w:name="статья15часть1"/>
      <w:bookmarkEnd w:id="6"/>
      <w:r>
        <w:rPr>
          <w:rFonts w:ascii="Tahoma" w:hAnsi="Tahoma" w:cs="Tahoma"/>
          <w:color w:val="333333"/>
          <w:sz w:val="20"/>
          <w:szCs w:val="20"/>
        </w:rPr>
        <w:t>1. Организация, проводящая специальную оценку условий труда, составляет отчет о ее проведении, в который включаются следующие результаты проведения специальной оценки условий труда: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7" w:name="саттья15часть1_1"/>
      <w:bookmarkStart w:id="8" w:name="статья15часть1пункт1"/>
      <w:bookmarkEnd w:id="7"/>
      <w:bookmarkEnd w:id="8"/>
      <w:r>
        <w:rPr>
          <w:rFonts w:ascii="Tahoma" w:hAnsi="Tahoma" w:cs="Tahoma"/>
          <w:color w:val="333333"/>
          <w:sz w:val="20"/>
          <w:szCs w:val="20"/>
        </w:rPr>
        <w:t>1) сведения об организации, проводящей специальную оценку условий труда, с приложением копий документов, подтверждающих ее соответствие установленным </w:t>
      </w:r>
      <w:hyperlink r:id="rId6" w:anchor="статья19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статьей 19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настоящего Федерального закона требованиям;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9" w:name="саттья15часть1_2"/>
      <w:bookmarkStart w:id="10" w:name="статья15часть1пункт2"/>
      <w:bookmarkEnd w:id="9"/>
      <w:bookmarkEnd w:id="10"/>
      <w:r>
        <w:rPr>
          <w:rFonts w:ascii="Tahoma" w:hAnsi="Tahoma" w:cs="Tahoma"/>
          <w:color w:val="333333"/>
          <w:sz w:val="20"/>
          <w:szCs w:val="20"/>
        </w:rPr>
        <w:t>2)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4)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5) протоколы оценки эффективности средств индивидуальной защиты;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lastRenderedPageBreak/>
        <w:t>6) протокол комиссии, содержащий решение о невозможности проведения исследований (испытаний) и измерений по основанию, указанному в </w:t>
      </w:r>
      <w:hyperlink r:id="rId7" w:anchor="статья12часть9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9 статьи 12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настоящего Федерального закона (при наличии такого решения);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7) сводная ведомость специальной оценки условий труда;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8)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11" w:name="саттья15часть1_9"/>
      <w:bookmarkStart w:id="12" w:name="статья15часть1пункт9"/>
      <w:bookmarkEnd w:id="11"/>
      <w:bookmarkEnd w:id="12"/>
      <w:r>
        <w:rPr>
          <w:rFonts w:ascii="Tahoma" w:hAnsi="Tahoma" w:cs="Tahoma"/>
          <w:color w:val="333333"/>
          <w:sz w:val="20"/>
          <w:szCs w:val="20"/>
        </w:rPr>
        <w:t>9) заключения эксперта организации, проводящей специальную оценку условий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13" w:name="статья15часть2"/>
      <w:bookmarkEnd w:id="13"/>
      <w:r>
        <w:rPr>
          <w:rFonts w:ascii="Tahoma" w:hAnsi="Tahoma" w:cs="Tahoma"/>
          <w:color w:val="333333"/>
          <w:sz w:val="20"/>
          <w:szCs w:val="20"/>
        </w:rPr>
        <w:t>2. Отчет о проведении специальной оценки условий труда подписывается всеми членами комиссии и утверждается председателем комиссии. Член комиссии, который не согласен с результатами проведения специальной оценки условий труда, имеет право изложить в письменной форме мотивированное особое мнение, которое прилагается к этому отчету.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14" w:name="статья15часть3"/>
      <w:bookmarkEnd w:id="14"/>
      <w:r>
        <w:rPr>
          <w:rFonts w:ascii="Tahoma" w:hAnsi="Tahoma" w:cs="Tahoma"/>
          <w:color w:val="333333"/>
          <w:sz w:val="20"/>
          <w:szCs w:val="20"/>
        </w:rPr>
        <w:t>3. Форма отчета о проведении специальной оценки условий труда и инструкция по ее заполнению утверждаются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4. В отношении рабочих мест, на которых вредные и (или) опасные производственные факторы не идентифицированы, в отчете о проведении специальной оценки условий труда указываются сведения, предусмотренные пунктами </w:t>
      </w:r>
      <w:hyperlink r:id="rId8" w:anchor="статья15часть1пункт1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1</w:t>
        </w:r>
      </w:hyperlink>
      <w:r>
        <w:rPr>
          <w:rFonts w:ascii="Tahoma" w:hAnsi="Tahoma" w:cs="Tahoma"/>
          <w:color w:val="333333"/>
          <w:sz w:val="20"/>
          <w:szCs w:val="20"/>
        </w:rPr>
        <w:t>, </w:t>
      </w:r>
      <w:hyperlink r:id="rId9" w:anchor="статья15часть1пункт2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2</w:t>
        </w:r>
      </w:hyperlink>
      <w:r>
        <w:rPr>
          <w:rFonts w:ascii="Tahoma" w:hAnsi="Tahoma" w:cs="Tahoma"/>
          <w:color w:val="333333"/>
          <w:sz w:val="20"/>
          <w:szCs w:val="20"/>
        </w:rPr>
        <w:t> и </w:t>
      </w:r>
      <w:hyperlink r:id="rId10" w:anchor="статья15часть1пункт9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9</w:t>
        </w:r>
      </w:hyperlink>
      <w:r>
        <w:rPr>
          <w:rFonts w:ascii="Tahoma" w:hAnsi="Tahoma" w:cs="Tahoma"/>
          <w:color w:val="333333"/>
          <w:sz w:val="20"/>
          <w:szCs w:val="20"/>
        </w:rPr>
        <w:t> </w:t>
      </w:r>
      <w:hyperlink r:id="rId11" w:anchor="статья15часть1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1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5. 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позднее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чем тридцать календарных дней со дня утверждения отчета о проведении специальной оценки условий труда. В указанный срок не включаются периоды временной нетрудоспособности работника, нахождения его в отпуске или командировке, периоды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междувахтового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 отдыха.</w:t>
      </w:r>
    </w:p>
    <w:p w:rsidR="00A627F4" w:rsidRDefault="00A627F4" w:rsidP="00A627F4">
      <w:pPr>
        <w:pStyle w:val="a4"/>
        <w:shd w:val="clear" w:color="auto" w:fill="FFFFFF"/>
        <w:spacing w:before="0" w:beforeAutospacing="0"/>
        <w:rPr>
          <w:rFonts w:ascii="Tahoma" w:hAnsi="Tahoma" w:cs="Tahoma"/>
          <w:color w:val="333333"/>
          <w:sz w:val="20"/>
          <w:szCs w:val="20"/>
        </w:rPr>
      </w:pPr>
      <w:bookmarkStart w:id="15" w:name="статья15часть6"/>
      <w:bookmarkEnd w:id="15"/>
      <w:r>
        <w:rPr>
          <w:rFonts w:ascii="Tahoma" w:hAnsi="Tahoma" w:cs="Tahoma"/>
          <w:color w:val="333333"/>
          <w:sz w:val="20"/>
          <w:szCs w:val="20"/>
        </w:rPr>
        <w:t xml:space="preserve">6.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информационно-телекоммуникационной сети "Интернет" (при наличии такого сайта) сводных данных о результатах проведения специальной оценки условий труда в части установления классов (подклассов) условий труда на рабочих местах и перечня мероприятий по улучшению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условий и охраны труда работников, на рабочих местах которых проводилась специальная оценка условий труда, в срок не позднее чем в течение тридцати календарных дней со дня утверждения отчета о проведении специальной оценки условий труда.</w:t>
      </w:r>
    </w:p>
    <w:p w:rsidR="00A627F4" w:rsidRDefault="00A627F4" w:rsidP="00A627F4">
      <w:pPr>
        <w:pStyle w:val="3"/>
        <w:shd w:val="clear" w:color="auto" w:fill="FFFFFF"/>
        <w:spacing w:before="0" w:beforeAutospacing="0"/>
        <w:rPr>
          <w:rFonts w:ascii="Tahoma" w:hAnsi="Tahoma" w:cs="Tahoma"/>
          <w:color w:val="333333"/>
          <w:sz w:val="23"/>
          <w:szCs w:val="23"/>
        </w:rPr>
      </w:pPr>
      <w:bookmarkStart w:id="16" w:name="статья16"/>
      <w:bookmarkEnd w:id="16"/>
      <w:r>
        <w:rPr>
          <w:rFonts w:ascii="Tahoma" w:hAnsi="Tahoma" w:cs="Tahoma"/>
          <w:color w:val="333333"/>
          <w:sz w:val="23"/>
          <w:szCs w:val="23"/>
        </w:rPr>
        <w:t>Статья 16. Особенности проведения специальной оценки условий труда на отдельных рабочих местах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1. 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(но не менее чем двух рабочих мест) и ее результаты применяются ко всем аналогичным рабочим местам.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2. На аналогичные рабочие места заполняется одна карта специальной оценки условий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3. В отношении аналогичных рабочих мест разрабатывается единый перечень мероприятий по улучшению условий и охраны труда работников.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Специальная оценка условий труда на рабочих местах с территориально меняющимися рабочими зонами, где рабочей зоной считается оснащенная необходимыми средствами производства часть рабочего места, в которой один работник или несколько работников выполняют схожие работы или технологические операции, проводится путем предварительного определения типичных технологических операций, характеризующихся наличием одинаковых вредных и (или) опасных производственных факторов, и последующей оценки воздействия на работников этих факторов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при выполнении таких работ или операций. Время выполнения каждой технологической операции определяется экспертом организации, проводящей специальную оценку условий труда, на основании локальных нормативных актов, путем опроса работников и их непосредственных руководителей, а также путем </w:t>
      </w:r>
      <w:proofErr w:type="spellStart"/>
      <w:r>
        <w:rPr>
          <w:rFonts w:ascii="Tahoma" w:hAnsi="Tahoma" w:cs="Tahoma"/>
          <w:color w:val="333333"/>
          <w:sz w:val="20"/>
          <w:szCs w:val="20"/>
        </w:rPr>
        <w:t>хронометрирования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>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5. В случае выявления в ходе проведения специальной оценки условий труда хотя бы одного рабочего места, не соответствующего признакам аналогичности, установленным </w:t>
      </w:r>
      <w:hyperlink r:id="rId12" w:anchor="статья9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статьей 9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настоящего Федерального закона, из числа рабочих мест, ранее признанных аналогичными, специальная оценка условий труда проводится на всех рабочих местах, признанных ранее аналогичными.</w:t>
      </w:r>
    </w:p>
    <w:p w:rsidR="00A627F4" w:rsidRDefault="00A627F4" w:rsidP="00A627F4">
      <w:pPr>
        <w:pStyle w:val="3"/>
        <w:shd w:val="clear" w:color="auto" w:fill="FFFFFF"/>
        <w:rPr>
          <w:rFonts w:ascii="Tahoma" w:hAnsi="Tahoma" w:cs="Tahoma"/>
          <w:color w:val="333333"/>
          <w:sz w:val="23"/>
          <w:szCs w:val="23"/>
        </w:rPr>
      </w:pPr>
      <w:bookmarkStart w:id="17" w:name="статья17"/>
      <w:bookmarkEnd w:id="17"/>
    </w:p>
    <w:p w:rsidR="00A627F4" w:rsidRDefault="00A627F4" w:rsidP="00A627F4">
      <w:pPr>
        <w:pStyle w:val="3"/>
        <w:shd w:val="clear" w:color="auto" w:fill="FFFFFF"/>
        <w:rPr>
          <w:rFonts w:ascii="Tahoma" w:hAnsi="Tahoma" w:cs="Tahoma"/>
          <w:color w:val="333333"/>
          <w:sz w:val="23"/>
          <w:szCs w:val="23"/>
        </w:rPr>
      </w:pPr>
      <w:r>
        <w:rPr>
          <w:rFonts w:ascii="Tahoma" w:hAnsi="Tahoma" w:cs="Tahoma"/>
          <w:color w:val="333333"/>
          <w:sz w:val="23"/>
          <w:szCs w:val="23"/>
        </w:rPr>
        <w:lastRenderedPageBreak/>
        <w:t>Статья 17. Проведение внеплановой специальной оценки условий труда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18" w:name="статья17часть1"/>
      <w:bookmarkEnd w:id="18"/>
      <w:r>
        <w:rPr>
          <w:rFonts w:ascii="Tahoma" w:hAnsi="Tahoma" w:cs="Tahoma"/>
          <w:color w:val="333333"/>
          <w:sz w:val="20"/>
          <w:szCs w:val="20"/>
        </w:rPr>
        <w:t>1. Внеплановая специальная оценка условий труда должна проводиться в следующих случаях: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proofErr w:type="gramStart"/>
      <w:r>
        <w:rPr>
          <w:rFonts w:ascii="Tahoma" w:hAnsi="Tahoma" w:cs="Tahoma"/>
          <w:color w:val="333333"/>
          <w:sz w:val="20"/>
          <w:szCs w:val="20"/>
        </w:rPr>
        <w:t>1) ввод в эксплуатацию вновь организованных рабочих мест;</w:t>
      </w:r>
      <w:proofErr w:type="gramEnd"/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proofErr w:type="gramStart"/>
      <w:r>
        <w:rPr>
          <w:rFonts w:ascii="Tahoma" w:hAnsi="Tahoma" w:cs="Tahoma"/>
          <w:color w:val="333333"/>
          <w:sz w:val="20"/>
          <w:szCs w:val="20"/>
        </w:rPr>
        <w:t>2)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нарушениями требований настоящего Федерального закона;</w:t>
      </w:r>
      <w:proofErr w:type="gramEnd"/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изменение технологического процесса, замена производственного оборудования, которые способны оказать влияние на уровень воздействия вредных и (или) опасных производственных факторов на работников;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4) изменение состава применяемых материалов и (или) сырья, способных оказать влияние на уровень воздействия вредных и (или) опасных производственных факторов на работников;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5) изменение применяемых средств индивидуальной и коллективной защиты, способное оказать влияние на уровень воздействия вредных и (или) опасных производственных факторов на работников;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6) произошедший на рабочем месте несчастный случай на производстве (за исключением несчастного случая на производстве, произошедшего по вине третьих лиц) или выявленное профессиональное заболевание, причинами которых явилось воздействие на работника вредных и (или) опасных производственных факторов;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7)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2. Внеплановая специальная оценка условий труда проводится на соответствующих рабочих местах в течение шести месяцев со дня наступления указанных в </w:t>
      </w:r>
      <w:hyperlink r:id="rId13" w:anchor="статья17часть1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1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 случаев.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i/>
          <w:iCs/>
          <w:color w:val="333333"/>
          <w:sz w:val="20"/>
          <w:szCs w:val="20"/>
        </w:rPr>
        <w:t>Примечание.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hyperlink r:id="rId14" w:anchor="статья18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Статья 18</w:t>
        </w:r>
      </w:hyperlink>
      <w:r>
        <w:rPr>
          <w:rFonts w:ascii="Tahoma" w:hAnsi="Tahoma" w:cs="Tahoma"/>
          <w:i/>
          <w:iCs/>
          <w:color w:val="333333"/>
          <w:sz w:val="20"/>
          <w:szCs w:val="20"/>
        </w:rPr>
        <w:t> вступает в силу с 1 января 2016 года (</w:t>
      </w:r>
      <w:hyperlink r:id="rId15" w:anchor="статья28часть2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часть 2 статьи 28</w:t>
        </w:r>
        <w:r>
          <w:rPr>
            <w:rStyle w:val="apple-converted-space"/>
            <w:rFonts w:ascii="Tahoma" w:hAnsi="Tahoma" w:cs="Tahoma"/>
            <w:color w:val="8C9AA8"/>
            <w:sz w:val="20"/>
            <w:szCs w:val="20"/>
            <w:u w:val="single"/>
          </w:rPr>
          <w:t> </w:t>
        </w:r>
      </w:hyperlink>
      <w:r>
        <w:rPr>
          <w:rFonts w:ascii="Tahoma" w:hAnsi="Tahoma" w:cs="Tahoma"/>
          <w:i/>
          <w:iCs/>
          <w:color w:val="333333"/>
          <w:sz w:val="20"/>
          <w:szCs w:val="20"/>
        </w:rPr>
        <w:t>данного документа).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i/>
          <w:iCs/>
          <w:color w:val="333333"/>
          <w:sz w:val="20"/>
          <w:szCs w:val="20"/>
        </w:rPr>
      </w:pPr>
      <w:proofErr w:type="gramStart"/>
      <w:r>
        <w:rPr>
          <w:rFonts w:ascii="Tahoma" w:hAnsi="Tahoma" w:cs="Tahoma"/>
          <w:i/>
          <w:iCs/>
          <w:color w:val="333333"/>
          <w:sz w:val="20"/>
          <w:szCs w:val="20"/>
        </w:rPr>
        <w:t>До 1 января 2016 года сведения, указанные в </w:t>
      </w:r>
      <w:hyperlink r:id="rId16" w:anchor="статья18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статье 18</w:t>
        </w:r>
      </w:hyperlink>
      <w:r>
        <w:rPr>
          <w:rFonts w:ascii="Tahoma" w:hAnsi="Tahoma" w:cs="Tahoma"/>
          <w:i/>
          <w:iCs/>
          <w:color w:val="333333"/>
          <w:sz w:val="20"/>
          <w:szCs w:val="20"/>
        </w:rPr>
        <w:t>, передаются в федеральный орган исполнительной власти, уполномоченный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 (</w:t>
      </w:r>
      <w:hyperlink r:id="rId17" w:anchor="статья28часть3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часть 3 статьи 28</w:t>
        </w:r>
        <w:proofErr w:type="gramEnd"/>
      </w:hyperlink>
      <w:r>
        <w:rPr>
          <w:rFonts w:ascii="Tahoma" w:hAnsi="Tahoma" w:cs="Tahoma"/>
          <w:i/>
          <w:iCs/>
          <w:color w:val="333333"/>
          <w:sz w:val="20"/>
          <w:szCs w:val="20"/>
        </w:rPr>
        <w:t> данного документа).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</w:p>
    <w:p w:rsidR="00A627F4" w:rsidRDefault="00A627F4" w:rsidP="00A627F4">
      <w:pPr>
        <w:pStyle w:val="3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3"/>
          <w:szCs w:val="23"/>
        </w:rPr>
      </w:pPr>
      <w:bookmarkStart w:id="19" w:name="статья18"/>
      <w:bookmarkEnd w:id="19"/>
      <w:r>
        <w:rPr>
          <w:rFonts w:ascii="Tahoma" w:hAnsi="Tahoma" w:cs="Tahoma"/>
          <w:color w:val="333333"/>
          <w:sz w:val="23"/>
          <w:szCs w:val="23"/>
        </w:rPr>
        <w:t xml:space="preserve">Статья 18. Федеральная государственная информационная система </w:t>
      </w:r>
      <w:proofErr w:type="gramStart"/>
      <w:r>
        <w:rPr>
          <w:rFonts w:ascii="Tahoma" w:hAnsi="Tahoma" w:cs="Tahoma"/>
          <w:color w:val="333333"/>
          <w:sz w:val="23"/>
          <w:szCs w:val="23"/>
        </w:rPr>
        <w:t>учета результатов проведения специальной оценки условий труда</w:t>
      </w:r>
      <w:proofErr w:type="gramEnd"/>
    </w:p>
    <w:p w:rsidR="00A627F4" w:rsidRDefault="00A627F4" w:rsidP="00A627F4">
      <w:pPr>
        <w:pStyle w:val="3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3"/>
          <w:szCs w:val="23"/>
        </w:rPr>
      </w:pP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20" w:name="статья18часть1"/>
      <w:bookmarkEnd w:id="20"/>
      <w:r>
        <w:rPr>
          <w:rFonts w:ascii="Tahoma" w:hAnsi="Tahoma" w:cs="Tahoma"/>
          <w:color w:val="333333"/>
          <w:sz w:val="20"/>
          <w:szCs w:val="20"/>
        </w:rPr>
        <w:t xml:space="preserve">1. Результаты проведения специальной оценки условий труда, в том числе в отношении рабочих мест, условия труда на которых признаны допустимыми и декларируются как соответствующие государственным нормативным требованиям охраны труда, подлежат передаче в Федеральную государственную информационную систему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учета результатов проведения специальной оценки условий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труда (далее - информационная система учета). Обязанность по передаче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результатов проведения специальной оценки условий труда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возлагается на организацию, проводящую специальную оценку условий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21" w:name="статья18часть2"/>
      <w:bookmarkEnd w:id="21"/>
      <w:r>
        <w:rPr>
          <w:rFonts w:ascii="Tahoma" w:hAnsi="Tahoma" w:cs="Tahoma"/>
          <w:color w:val="333333"/>
          <w:sz w:val="20"/>
          <w:szCs w:val="20"/>
        </w:rPr>
        <w:t>2. В информационной системе учета объектами учета являются следующие сведения: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1) в отношении работодателя: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а) полное наименование;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б) место нахождения и место осуществления деятельности;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в) идентификационный номер налогоплательщика;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г) основной государственный регистрационный номер;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д) код по Общероссийскому классификатору видов экономической деятельности;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е) количество рабочих мест;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ж) количество рабочих мест, на которых проведена специальная оценка условий труда;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proofErr w:type="spellStart"/>
      <w:r>
        <w:rPr>
          <w:rFonts w:ascii="Tahoma" w:hAnsi="Tahoma" w:cs="Tahoma"/>
          <w:color w:val="333333"/>
          <w:sz w:val="20"/>
          <w:szCs w:val="20"/>
        </w:rPr>
        <w:t>з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>) распределение рабочих мест по классам (подклассам) условий труда;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2) в отношении рабочего места: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а) индивидуальный номер рабочего места;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lastRenderedPageBreak/>
        <w:t>б) код профессии работника или работников, занятых на данном рабочем месте, в соответствии с Общероссийским классификатором профессий рабочих, должностей служащих и тарифных разрядов;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в) страховой номер индивидуального лицевого счета работника или работников, занятых на данном рабочем месте;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г) численность работников, занятых на данном рабочем месте;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д) класс (подкласс) условий труда на данном рабочем месте, а также класс (подкласс) условий труда в отношении каждого вредного и (или) опасного производственных факторов с указанием их наименования, единиц их измерения, измеренных значений, соответствующих нормативов (гигиенических нормативов) условий труда, продолжительности воздействия данных вредных и (или) опасных производственных факторов на работника;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е) основание для формирования прав на досрочную трудовую пенсию по старости (при наличии);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ж) сведения о произошедших за последние пять лет несчастных случаях на производстве и о профессиональных заболеваниях, выявленных у работников, занятых на данном рабочем месте;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proofErr w:type="spellStart"/>
      <w:r>
        <w:rPr>
          <w:rFonts w:ascii="Tahoma" w:hAnsi="Tahoma" w:cs="Tahoma"/>
          <w:color w:val="333333"/>
          <w:sz w:val="20"/>
          <w:szCs w:val="20"/>
        </w:rPr>
        <w:t>з</w:t>
      </w:r>
      <w:proofErr w:type="spellEnd"/>
      <w:r>
        <w:rPr>
          <w:rFonts w:ascii="Tahoma" w:hAnsi="Tahoma" w:cs="Tahoma"/>
          <w:color w:val="333333"/>
          <w:sz w:val="20"/>
          <w:szCs w:val="20"/>
        </w:rPr>
        <w:t xml:space="preserve">) сведения о качестве результатов проведения специальной оценки условий труда (соответствие или несоответствие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результатов проведения специальной оценки условий труда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требованиям настоящего Федерального закона в случае проведения экспертизы качества специальной оценки условий труда);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3) в отношении организации, проводившей специальную оценку условий труда: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а) полное наименование;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б) регистрационный номер записи в реестре организаций, проводящих специальную оценку условий труда;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в) идентификационный номер налогоплательщика;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г) основной государственный регистрационный номер;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д) сведения об аккредитации испытательной лаборатории (центра), в том числе номер и срок действия аттестата аккредитации испытательной лаборатории (центра);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е) сведения об экспертах организации, проводившей специальную оценку условий труда, участвовавших в ее проведении, в том числе фамилия, имя, отчество, должность и регистрационный номер записи в реестре экспертов организаций, проводящих специальную оценку условий труда;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ж) сведения о применявшихся испытательной лабораторией (центром) средствах измерений, включающие в себя наименование средства измерения и его номер в Федеральном информационном фонде по обеспечению единства измерений, заводской номер средства измерений, дату окончания срока действия его поверки, дату проведения измерений, наименования измерявшихся вредного и (или) опасного производственных факторов.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22" w:name="статья18часть3"/>
      <w:bookmarkEnd w:id="22"/>
      <w:r>
        <w:rPr>
          <w:rFonts w:ascii="Tahoma" w:hAnsi="Tahoma" w:cs="Tahoma"/>
          <w:color w:val="333333"/>
          <w:sz w:val="20"/>
          <w:szCs w:val="20"/>
        </w:rPr>
        <w:t>3. Организация, проводящая специальную оценку условий труда, в течение десяти рабочих дней со дня утверждения отчет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а о ее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проведении передает в информационную систему учета в форме электронного документа, подписанного квалифицированной электронной подписью, сведения, предусмотренные </w:t>
      </w:r>
      <w:hyperlink r:id="rId18" w:anchor="статья18часть2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частью 2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bookmarkStart w:id="23" w:name="статья18часть4"/>
      <w:bookmarkEnd w:id="23"/>
      <w:r>
        <w:rPr>
          <w:rFonts w:ascii="Tahoma" w:hAnsi="Tahoma" w:cs="Tahoma"/>
          <w:color w:val="333333"/>
          <w:sz w:val="20"/>
          <w:szCs w:val="20"/>
        </w:rPr>
        <w:t xml:space="preserve">4.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В случае невыполнения организацией, проводящей специальную оценку условий труда, обязанностей, предусмотренных </w:t>
      </w:r>
      <w:hyperlink r:id="rId19" w:anchor="статья18часть1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частью 1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статьи, работодатель вправе передавать в территориальный орган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в том числе в электронной форме, имеющиеся у него сведения в отношении объектов учета, указанных в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> </w:t>
      </w:r>
      <w:hyperlink r:id="rId20" w:anchor="статья18часть2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2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5.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В случае, указанном в </w:t>
      </w:r>
      <w:hyperlink r:id="rId21" w:anchor="статья18часть4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4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статьи, территориальный орган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передает в информационную систему учета в форме электронного документа, подписанного квалифицированной электронной подписью, сведения в отношении объектов учета, указанных в </w:t>
      </w:r>
      <w:hyperlink r:id="rId22" w:anchor="статья18часть2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части 2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настоящей статьи.</w:t>
      </w:r>
      <w:proofErr w:type="gramEnd"/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 xml:space="preserve">6. 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t>Сведения, содержащиеся в информационной системе учета, используются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труда, подведомственной ему федеральной службой и координируемыми им государственными внебюджетными фондами, а также федеральным органом исполнительной власти, осуществляющим функции по организации и осуществлению федерального государственного санитарно-эпидемиологического надзора, органами исполнительной власти субъектов Российской Федерации в области охраны</w:t>
      </w:r>
      <w:proofErr w:type="gramEnd"/>
      <w:r>
        <w:rPr>
          <w:rFonts w:ascii="Tahoma" w:hAnsi="Tahoma" w:cs="Tahoma"/>
          <w:color w:val="333333"/>
          <w:sz w:val="20"/>
          <w:szCs w:val="20"/>
        </w:rPr>
        <w:t xml:space="preserve"> труда и страховщиками в целях, указанных в </w:t>
      </w:r>
      <w:hyperlink r:id="rId23" w:anchor="статья7" w:history="1">
        <w:r>
          <w:rPr>
            <w:rStyle w:val="a3"/>
            <w:rFonts w:ascii="Tahoma" w:hAnsi="Tahoma" w:cs="Tahoma"/>
            <w:color w:val="8C9AA8"/>
            <w:sz w:val="20"/>
            <w:szCs w:val="20"/>
          </w:rPr>
          <w:t>статье 7</w:t>
        </w:r>
      </w:hyperlink>
      <w:r>
        <w:rPr>
          <w:rFonts w:ascii="Tahoma" w:hAnsi="Tahoma" w:cs="Tahoma"/>
          <w:color w:val="333333"/>
          <w:sz w:val="20"/>
          <w:szCs w:val="20"/>
        </w:rPr>
        <w:t> настоящего Федерального закона.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lastRenderedPageBreak/>
        <w:t>7. Порядок формирования, хранения и использования сведений, содержащихся в информационной системе учета, устанавливается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8. Участники информационного взаимодействия обязаны соблюдать конфиденциальность сведений, содержащихся в информационной системе учета, обеспечивать защиту этих сведений от несанкционированного доступа в соответствии с законодательством Российской Федерации.</w:t>
      </w:r>
    </w:p>
    <w:p w:rsidR="00A627F4" w:rsidRDefault="00A627F4" w:rsidP="00A627F4">
      <w:pPr>
        <w:pStyle w:val="a4"/>
        <w:shd w:val="clear" w:color="auto" w:fill="FFFFFF"/>
        <w:spacing w:before="0" w:beforeAutospacing="0" w:after="0" w:afterAutospacing="0"/>
        <w:rPr>
          <w:rFonts w:ascii="Tahoma" w:hAnsi="Tahoma" w:cs="Tahoma"/>
          <w:color w:val="333333"/>
          <w:sz w:val="20"/>
          <w:szCs w:val="20"/>
        </w:rPr>
      </w:pPr>
      <w:r>
        <w:rPr>
          <w:rFonts w:ascii="Tahoma" w:hAnsi="Tahoma" w:cs="Tahoma"/>
          <w:color w:val="333333"/>
          <w:sz w:val="20"/>
          <w:szCs w:val="20"/>
        </w:rPr>
        <w:t>9. Оператором информационной системы учета является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труда.</w:t>
      </w:r>
    </w:p>
    <w:p w:rsidR="00563DAD" w:rsidRDefault="00563DAD"/>
    <w:sectPr w:rsidR="00563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characterSpacingControl w:val="doNotCompress"/>
  <w:compat/>
  <w:rsids>
    <w:rsidRoot w:val="00A627F4"/>
    <w:rsid w:val="000302E8"/>
    <w:rsid w:val="004F1836"/>
    <w:rsid w:val="00557EF0"/>
    <w:rsid w:val="00563DAD"/>
    <w:rsid w:val="00661E77"/>
    <w:rsid w:val="009320A9"/>
    <w:rsid w:val="00956EF3"/>
    <w:rsid w:val="00A627F4"/>
    <w:rsid w:val="00AC5BDF"/>
    <w:rsid w:val="00B064DB"/>
    <w:rsid w:val="00D55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7F4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A627F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basedOn w:val="a0"/>
    <w:link w:val="3"/>
    <w:uiPriority w:val="9"/>
    <w:rsid w:val="00A627F4"/>
    <w:rPr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A627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A627F4"/>
  </w:style>
  <w:style w:type="paragraph" w:styleId="a4">
    <w:name w:val="Normal (Web)"/>
    <w:basedOn w:val="a"/>
    <w:uiPriority w:val="99"/>
    <w:unhideWhenUsed/>
    <w:rsid w:val="00A627F4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A62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627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gma.su/normdoc/zakon-ohran/atest-rab-mest/detail.php?ID=39105" TargetMode="External"/><Relationship Id="rId13" Type="http://schemas.openxmlformats.org/officeDocument/2006/relationships/hyperlink" Target="http://dogma.su/normdoc/zakon-ohran/atest-rab-mest/detail.php?ID=39105" TargetMode="External"/><Relationship Id="rId18" Type="http://schemas.openxmlformats.org/officeDocument/2006/relationships/hyperlink" Target="http://dogma.su/normdoc/zakon-ohran/atest-rab-mest/detail.php?ID=3910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gma.su/normdoc/zakon-ohran/atest-rab-mest/detail.php?ID=39105" TargetMode="External"/><Relationship Id="rId7" Type="http://schemas.openxmlformats.org/officeDocument/2006/relationships/hyperlink" Target="http://dogma.su/normdoc/zakon-ohran/atest-rab-mest/detail.php?ID=39105" TargetMode="External"/><Relationship Id="rId12" Type="http://schemas.openxmlformats.org/officeDocument/2006/relationships/hyperlink" Target="http://dogma.su/normdoc/zakon-ohran/atest-rab-mest/detail.php?ID=39105" TargetMode="External"/><Relationship Id="rId17" Type="http://schemas.openxmlformats.org/officeDocument/2006/relationships/hyperlink" Target="http://dogma.su/normdoc/zakon-ohran/atest-rab-mest/detail.php?ID=39105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dogma.su/normdoc/zakon-ohran/atest-rab-mest/detail.php?ID=39105" TargetMode="External"/><Relationship Id="rId20" Type="http://schemas.openxmlformats.org/officeDocument/2006/relationships/hyperlink" Target="http://dogma.su/normdoc/zakon-ohran/atest-rab-mest/detail.php?ID=39105" TargetMode="External"/><Relationship Id="rId1" Type="http://schemas.openxmlformats.org/officeDocument/2006/relationships/styles" Target="styles.xml"/><Relationship Id="rId6" Type="http://schemas.openxmlformats.org/officeDocument/2006/relationships/hyperlink" Target="http://dogma.su/normdoc/zakon-ohran/atest-rab-mest/detail.php?ID=39105" TargetMode="External"/><Relationship Id="rId11" Type="http://schemas.openxmlformats.org/officeDocument/2006/relationships/hyperlink" Target="http://dogma.su/normdoc/zakon-ohran/atest-rab-mest/detail.php?ID=39105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dogma.su/normdoc/zakon-ohran/atest-rab-mest/detail.php?ID=39105" TargetMode="External"/><Relationship Id="rId15" Type="http://schemas.openxmlformats.org/officeDocument/2006/relationships/hyperlink" Target="http://dogma.su/normdoc/zakon-ohran/atest-rab-mest/detail.php?ID=39105" TargetMode="External"/><Relationship Id="rId23" Type="http://schemas.openxmlformats.org/officeDocument/2006/relationships/hyperlink" Target="http://dogma.su/normdoc/zakon-ohran/atest-rab-mest/detail.php?ID=39105" TargetMode="External"/><Relationship Id="rId10" Type="http://schemas.openxmlformats.org/officeDocument/2006/relationships/hyperlink" Target="http://dogma.su/normdoc/zakon-ohran/atest-rab-mest/detail.php?ID=39105" TargetMode="External"/><Relationship Id="rId19" Type="http://schemas.openxmlformats.org/officeDocument/2006/relationships/hyperlink" Target="http://dogma.su/normdoc/zakon-ohran/atest-rab-mest/detail.php?ID=39105" TargetMode="External"/><Relationship Id="rId4" Type="http://schemas.openxmlformats.org/officeDocument/2006/relationships/hyperlink" Target="http://dogma.su/normdoc/zakon-ohran/atest-rab-mest/detail.php?ID=39105" TargetMode="External"/><Relationship Id="rId9" Type="http://schemas.openxmlformats.org/officeDocument/2006/relationships/hyperlink" Target="http://dogma.su/normdoc/zakon-ohran/atest-rab-mest/detail.php?ID=39105" TargetMode="External"/><Relationship Id="rId14" Type="http://schemas.openxmlformats.org/officeDocument/2006/relationships/hyperlink" Target="http://dogma.su/normdoc/zakon-ohran/atest-rab-mest/detail.php?ID=39105" TargetMode="External"/><Relationship Id="rId22" Type="http://schemas.openxmlformats.org/officeDocument/2006/relationships/hyperlink" Target="http://dogma.su/normdoc/zakon-ohran/atest-rab-mest/detail.php?ID=3910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5;&#1088;&#1072;&#1082;&#1090;&#1080;&#1082;&#1072;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6</TotalTime>
  <Pages>7</Pages>
  <Words>4181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ТМК</Company>
  <LinksUpToDate>false</LinksUpToDate>
  <CharactersWithSpaces>27964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Практика</dc:creator>
  <cp:keywords/>
  <dc:description/>
  <cp:lastModifiedBy>Практика</cp:lastModifiedBy>
  <cp:revision>1</cp:revision>
  <cp:lastPrinted>2014-10-13T07:17:00Z</cp:lastPrinted>
  <dcterms:created xsi:type="dcterms:W3CDTF">2014-10-13T07:11:00Z</dcterms:created>
  <dcterms:modified xsi:type="dcterms:W3CDTF">2014-10-13T07:17:00Z</dcterms:modified>
</cp:coreProperties>
</file>